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597"/>
        <w:ind w:left="312" w:firstLine="273"/>
        <w:jc w:val="left"/>
        <w:spacing w:after="772" w:line="253" w:lineRule="auto"/>
        <w:rPr>
          <w:highlight w:val="none"/>
          <w:lang w:val="ru-RU"/>
        </w:rPr>
      </w:pPr>
      <w:r>
        <w:rPr>
          <w:sz w:val="22"/>
          <w:lang w:val="ru-RU"/>
        </w:rPr>
        <w:t xml:space="preserve">Муниципально бюджетное общеобразоватльное учреждение «</w:t>
      </w:r>
      <w:r>
        <w:rPr>
          <w:sz w:val="22"/>
          <w:lang w:val="ru-RU"/>
        </w:rPr>
        <w:t xml:space="preserve">Татарско- Суксинская</w:t>
      </w:r>
      <w:r>
        <w:rPr>
          <w:sz w:val="22"/>
          <w:lang w:val="ru-RU"/>
        </w:rPr>
        <w:t xml:space="preserve"> </w:t>
      </w:r>
      <w:r>
        <w:rPr>
          <w:sz w:val="22"/>
          <w:lang w:val="ru-RU"/>
        </w:rPr>
        <w:t xml:space="preserve">средняя</w:t>
      </w:r>
      <w:r>
        <w:rPr>
          <w:sz w:val="22"/>
          <w:lang w:val="ru-RU"/>
        </w:rPr>
        <w:t xml:space="preserve"> общеобразовательная школа» Актанышского муниципального района Республики Татарстан</w:t>
      </w:r>
      <w:r>
        <w:rPr>
          <w:lang w:val="ru-RU"/>
        </w:rPr>
      </w:r>
      <w:r/>
    </w:p>
    <w:p>
      <w:pPr>
        <w:ind w:left="312" w:firstLine="273"/>
        <w:jc w:val="center"/>
        <w:spacing w:after="772" w:line="253" w:lineRule="auto"/>
        <w:rPr>
          <w:highlight w:val="none"/>
          <w:lang w:val="tt-RU"/>
        </w:rPr>
      </w:pPr>
      <w:r>
        <w:rPr>
          <w:highlight w:val="none"/>
          <w:lang w:val="tt-RU"/>
        </w:rPr>
        <w:t xml:space="preserve">Приказ №72  </w:t>
      </w:r>
      <w:r>
        <w:rPr>
          <w:highlight w:val="none"/>
          <w:lang w:val="tt-RU"/>
        </w:rPr>
        <w:t xml:space="preserve">от 01.09.2023</w:t>
      </w:r>
      <w:r>
        <w:rPr>
          <w:highlight w:val="none"/>
          <w:lang w:val="ru-RU"/>
        </w:rPr>
      </w:r>
      <w:r>
        <w:rPr>
          <w:highlight w:val="none"/>
          <w:lang w:val="tt-RU"/>
        </w:rPr>
      </w:r>
    </w:p>
    <w:p>
      <w:pPr>
        <w:pStyle w:val="598"/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  <w:lang w:val="tt-RU"/>
        </w:rPr>
        <w:t xml:space="preserve"> </w:t>
      </w:r>
    </w:p>
    <w:p>
      <w:pPr>
        <w:pStyle w:val="598"/>
        <w:rPr>
          <w:highlight w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21603" cy="30480"/>
                <wp:effectExtent l="0" t="0" r="0" b="0"/>
                <wp:docPr id="1" name="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21603" cy="30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.7pt;height:2.4pt;mso-wrap-distance-left:0.0pt;mso-wrap-distance-top:0.0pt;mso-wrap-distance-right:0.0pt;mso-wrap-distance-bottom:0.0pt;" stroked="f">
                <v:path textboxrect="0,0,0,0"/>
                <v:imagedata r:id="rId8" o:title=""/>
              </v:shape>
            </w:pict>
          </mc:Fallback>
        </mc:AlternateContent>
      </w:r>
      <w:r>
        <w:t xml:space="preserve">Об утверждении графика оценочных процедур в 2023-2024 учебном году</w:t>
      </w:r>
      <w:r/>
    </w:p>
    <w:p>
      <w:pPr>
        <w:pStyle w:val="597"/>
        <w:ind w:left="23" w:right="9" w:firstLine="413"/>
        <w:spacing w:after="264"/>
        <w:rPr>
          <w:lang w:val="ru-RU"/>
        </w:rPr>
      </w:pPr>
      <w:r>
        <w:rPr>
          <w:lang w:val="ru-RU"/>
        </w:rPr>
        <w:t xml:space="preserve">На основании письма Министерства Просвещения Российской Федерации МСК228/03 и Ф&amp;деральной службы по надзору в сфере образования и науки № 01-169/08-01 от 6 августа 2021 </w:t>
      </w:r>
      <w:r>
        <w:rPr>
          <w:lang w:val="ru-RU"/>
        </w:rPr>
        <w:t xml:space="preserve">года « Рекомендации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организациях» в целях упорядочивания системы оценочных процедур, проводимых в общеобразовательной организации</w:t>
      </w:r>
      <w:r>
        <w:rPr>
          <w:lang w:val="ru-RU"/>
        </w:rPr>
      </w:r>
      <w:r/>
    </w:p>
    <w:p>
      <w:pPr>
        <w:pStyle w:val="597"/>
        <w:ind w:left="23" w:right="9"/>
        <w:spacing w:after="280"/>
        <w:rPr>
          <w:lang w:val="ru-RU"/>
        </w:rPr>
      </w:pPr>
      <w:r>
        <w:rPr>
          <w:lang w:val="ru-RU"/>
        </w:rPr>
        <w:t xml:space="preserve">ПРИКАЗЫВАЮ:</w:t>
      </w:r>
      <w:r>
        <w:rPr>
          <w:lang w:val="ru-RU"/>
        </w:rPr>
      </w:r>
      <w:r/>
    </w:p>
    <w:p>
      <w:pPr>
        <w:pStyle w:val="597"/>
        <w:ind w:left="23" w:right="9"/>
        <w:rPr>
          <w:lang w:val="ru-RU"/>
        </w:rPr>
      </w:pPr>
      <w:r>
        <w:rPr>
          <w:lang w:val="ru-RU"/>
        </w:rPr>
        <w:t xml:space="preserve">а) проводить оценочные процедуры по каждому учебному предмету в одной параллели классов не чаще 1 раза в 2</w:t>
      </w:r>
      <w:r>
        <w:rPr>
          <w:lang w:val="ru-RU"/>
        </w:rPr>
        <w:t xml:space="preserve">,5 </w:t>
      </w:r>
      <w:r>
        <w:rPr>
          <w:lang w:val="ru-RU"/>
        </w:rPr>
        <w:t xml:space="preserve">недели. При этом объем учебного времени, затрачиваемого на проведение оценочных процедур, не должен превышать 1094 от всего объема учебного времени, отводимого на изучение данного учебного предмета в данной параллели в текущем учебном году;</w:t>
      </w:r>
      <w:r>
        <w:rPr>
          <w:lang w:val="ru-RU"/>
        </w:rPr>
      </w:r>
      <w:r/>
    </w:p>
    <w:p>
      <w:pPr>
        <w:pStyle w:val="597"/>
        <w:ind w:left="23" w:right="9"/>
        <w:rPr>
          <w:lang w:val="ru-RU"/>
        </w:rPr>
      </w:pPr>
      <w:r>
        <w:rPr>
          <w:lang w:val="ru-RU"/>
        </w:rPr>
        <w:t xml:space="preserve">б) не проводить оценочные процедуры на первом и последнем уроках, за исключением учебных предметов, по которым проводится не более урока в неделю, причем этот урок является первым или последним в расписании;</w:t>
      </w:r>
      <w:r>
        <w:rPr>
          <w:lang w:val="ru-RU"/>
        </w:rPr>
      </w:r>
      <w:r/>
    </w:p>
    <w:p>
      <w:pPr>
        <w:pStyle w:val="597"/>
        <w:ind w:left="23" w:right="9"/>
        <w:rPr>
          <w:lang w:val="ru-RU"/>
        </w:rPr>
      </w:pPr>
      <w:r>
        <w:rPr>
          <w:lang w:val="ru-RU"/>
        </w:rPr>
        <w:t xml:space="preserve">в) не проводить для обучающихся одного класса более одной оценочной процедуры в день;</w:t>
      </w:r>
      <w:r>
        <w:rPr>
          <w:lang w:val="ru-RU"/>
        </w:rPr>
      </w:r>
      <w:r/>
    </w:p>
    <w:p>
      <w:pPr>
        <w:pStyle w:val="597"/>
        <w:ind w:left="23" w:right="9"/>
        <w:rPr>
          <w:lang w:val="ru-RU"/>
        </w:rPr>
      </w:pPr>
      <w:r>
        <w:rPr>
          <w:lang w:val="ru-RU"/>
        </w:rPr>
        <w:t xml:space="preserve">г) исключить ситуации замещения полноценного учебного процесс</w:t>
      </w:r>
      <w:r>
        <w:rPr>
          <w:lang w:val="ru-RU"/>
        </w:rPr>
        <w:t xml:space="preserve">а в соответствии с образовательной программой многократным выполнением однотипных заданий конкретной оценочной процедуры, проведения ”предварительных” контрольных или проверочных работ непосредственно перед планируемой датой проведения оценочной процедуры;</w:t>
      </w:r>
      <w:r>
        <w:rPr>
          <w:lang w:val="ru-RU"/>
        </w:rPr>
      </w:r>
      <w:r/>
    </w:p>
    <w:p>
      <w:pPr>
        <w:pStyle w:val="597"/>
        <w:ind w:left="23" w:right="9"/>
      </w:pPr>
      <w:r>
        <w:rPr>
          <w:lang w:val="ru-RU"/>
        </w:rPr>
        <w:t xml:space="preserve">д) при проведении оценочной процедуры учитывать необходимость реализации в рамках учебного процесса таких этапов, как пр</w:t>
      </w:r>
      <w:r>
        <w:rPr>
          <w:lang w:val="ru-RU"/>
        </w:rPr>
        <w:t xml:space="preserve">оверка работ обучающихся, формирование массива результатов оценочной процедуры, анализ результатов учителем, разбор ошибок, допущенных обучающимися при выполнении работы, отработка выявленных проблем, при необходимости - повторение и закрепление материала;</w:t>
      </w:r>
      <w:r>
        <w:rPr>
          <w:lang w:val="ru-RU"/>
        </w:rPr>
      </w:r>
      <w:r/>
    </w:p>
    <w:p>
      <w:pPr>
        <w:pStyle w:val="597"/>
        <w:ind w:left="23" w:right="9"/>
        <w:spacing w:after="290"/>
        <w:rPr>
          <w:lang w:val="ru-RU"/>
        </w:rPr>
      </w:pPr>
      <w:r>
        <w:rPr>
          <w:lang w:val="ru-RU"/>
        </w:rPr>
        <w:t xml:space="preserve">е)</w:t>
      </w:r>
      <w:r>
        <w:rPr>
          <w:lang w:val="ru-RU"/>
        </w:rPr>
        <w:t xml:space="preserve"> не использовать для проведения оценочных процедур копии листов с заданиями, полученные в результате ксерографии (возможно использование материалов, распечатанных на принтере с высоким разрешением, типографских бланков, учебников, записей на доске и т.п.).</w:t>
      </w:r>
      <w:r>
        <w:rPr>
          <w:lang w:val="ru-RU"/>
        </w:rPr>
      </w:r>
      <w:r/>
    </w:p>
    <w:p>
      <w:pPr>
        <w:pStyle w:val="597"/>
        <w:ind w:left="23" w:right="9"/>
        <w:rPr>
          <w:lang w:val="ru-RU"/>
        </w:rPr>
      </w:pPr>
      <w:r>
        <w:rPr>
          <w:lang w:val="ru-RU"/>
        </w:rPr>
        <w:t xml:space="preserve">Эффективным способом планирования работы, позволяющим минимизировать нагрузку обучающихся, является составление единого для </w:t>
      </w:r>
      <w:r>
        <w:rPr>
          <w:lang w:val="ru-RU"/>
        </w:rPr>
        <w:t xml:space="preserve">ОО</w:t>
      </w:r>
      <w:r>
        <w:rPr>
          <w:lang w:val="ru-RU"/>
        </w:rPr>
        <w:t xml:space="preserve"> графика проведения оценочных процедур (далее - график) с учетом</w:t>
      </w:r>
      <w:r>
        <w:rPr>
          <w:lang w:val="ru-RU"/>
        </w:rPr>
        <w:t xml:space="preserve"> учебных периодов, принятых в ОО</w:t>
      </w:r>
      <w:r>
        <w:rPr>
          <w:lang w:val="ru-RU"/>
        </w:rPr>
        <w:t xml:space="preserve"> четверть, а также перечня учебных предметов.</w:t>
      </w:r>
      <w:r>
        <w:rPr>
          <w:lang w:val="ru-RU"/>
        </w:rPr>
      </w:r>
      <w:r/>
    </w:p>
    <w:p>
      <w:pPr>
        <w:pStyle w:val="597"/>
        <w:ind w:left="9" w:right="14" w:firstLine="67"/>
        <w:spacing w:after="65" w:line="234" w:lineRule="auto"/>
        <w:rPr>
          <w:lang w:val="ru-RU"/>
        </w:rPr>
      </w:pPr>
      <w:r>
        <w:rPr>
          <w:lang w:val="ru-RU"/>
        </w:rPr>
        <w:t xml:space="preserve">В целях обеспечения открытости и доступности информации о системе образования </w:t>
      </w:r>
      <w:r>
        <w:rPr>
          <w:lang w:val="ru-RU"/>
        </w:rPr>
        <w:t xml:space="preserve">ОО</w:t>
      </w:r>
      <w:r>
        <w:rPr>
          <w:lang w:val="ru-RU"/>
        </w:rPr>
        <w:t xml:space="preserve">: а) утвердить сформированный зам директором УВР Галиевой </w:t>
      </w:r>
      <w:r>
        <w:rPr>
          <w:lang w:val="ru-RU"/>
        </w:rPr>
        <w:t xml:space="preserve">Д.Г.</w:t>
      </w:r>
      <w:r>
        <w:rPr>
          <w:lang w:val="ru-RU"/>
        </w:rPr>
        <w:t xml:space="preserve">. единый для </w:t>
      </w:r>
      <w:r>
        <w:rPr>
          <w:lang w:val="ru-RU"/>
        </w:rPr>
        <w:t xml:space="preserve">ОО </w:t>
      </w:r>
      <w:r>
        <w:rPr>
          <w:lang w:val="ru-RU"/>
        </w:rPr>
        <w:t xml:space="preserve">график на учебный год с учетом оценочных процедур, запланированных в рамках учебного процесса в </w:t>
      </w:r>
      <w:r>
        <w:rPr>
          <w:lang w:val="ru-RU"/>
        </w:rPr>
        <w:t xml:space="preserve">ОО </w:t>
      </w:r>
      <w:r>
        <w:rPr>
          <w:lang w:val="ru-RU"/>
        </w:rPr>
        <w:t xml:space="preserve">, и оценочных процедур федерального и регионального уровней, документы о проведении которых опубликованы на момент начала учебного года (Приложение 1);</w:t>
      </w:r>
      <w:r>
        <w:rPr>
          <w:lang w:val="ru-RU"/>
        </w:rPr>
      </w:r>
      <w:r/>
    </w:p>
    <w:p>
      <w:pPr>
        <w:pStyle w:val="597"/>
        <w:ind w:left="9" w:right="14" w:firstLine="4"/>
        <w:spacing w:after="65" w:line="234" w:lineRule="auto"/>
        <w:rPr>
          <w:lang w:val="ru-RU"/>
        </w:rPr>
      </w:pPr>
      <w:r>
        <w:rPr>
          <w:lang w:val="ru-RU"/>
        </w:rPr>
        <w:t xml:space="preserve">б) разместить сформированный график не позднее чем через 2 недели после начала учебного года, на которое формируется график, на сайте </w:t>
      </w:r>
      <w:r>
        <w:rPr>
          <w:lang w:val="ru-RU"/>
        </w:rPr>
        <w:t xml:space="preserve">ОО</w:t>
      </w:r>
      <w:r>
        <w:rPr>
          <w:lang w:val="ru-RU"/>
        </w:rPr>
        <w:t xml:space="preserve"> на главной странице подраздела ”Документы” раздела ”Сведения об образовательной организации“ в виде электронного документа.</w:t>
      </w:r>
      <w:r>
        <w:rPr>
          <w:lang w:val="ru-RU"/>
        </w:rPr>
      </w:r>
      <w:r/>
    </w:p>
    <w:p>
      <w:pPr>
        <w:pStyle w:val="597"/>
        <w:ind w:left="9" w:right="14" w:firstLine="4"/>
        <w:spacing w:after="65" w:line="234" w:lineRule="auto"/>
        <w:rPr>
          <w:lang w:val="ru-RU"/>
        </w:rPr>
      </w:pPr>
      <w:r>
        <w:rPr>
          <w:lang w:val="ru-RU"/>
        </w:rPr>
        <w:t xml:space="preserve">График может быть скорректирован при наличии изменений учебного плана, вызванных: эпидемиологической ситуацией; участием </w:t>
      </w:r>
      <w:r>
        <w:rPr>
          <w:lang w:val="ru-RU"/>
        </w:rPr>
        <w:t xml:space="preserve">ОО</w:t>
      </w:r>
      <w:r>
        <w:rPr>
          <w:lang w:val="ru-RU"/>
        </w:rPr>
        <w:t xml:space="preserve"> в проведении национальных или международных исследований качества образования в соответствии с Приказом в случае, если такое участие согласовано после публикации</w:t>
      </w:r>
      <w:r>
        <w:rPr>
          <w:lang w:val="ru-RU"/>
        </w:rPr>
        <w:t xml:space="preserve"> ОО </w:t>
      </w:r>
      <w:r>
        <w:rPr>
          <w:lang w:val="ru-RU"/>
        </w:rPr>
        <w:t xml:space="preserve">графика; другими</w:t>
      </w:r>
      <w:r>
        <w:rPr>
          <w:lang w:val="ru-RU"/>
        </w:rPr>
        <w:t xml:space="preserve"> значимыми</w:t>
      </w:r>
      <w:r>
        <w:rPr>
          <w:lang w:val="ru-RU"/>
        </w:rPr>
        <w:t xml:space="preserve"> причинами.</w:t>
      </w:r>
      <w:r>
        <w:rPr>
          <w:lang w:val="ru-RU"/>
        </w:rPr>
      </w:r>
      <w:r/>
    </w:p>
    <w:p>
      <w:pPr>
        <w:pStyle w:val="597"/>
        <w:ind w:left="9" w:right="14" w:firstLine="547"/>
        <w:spacing w:after="65" w:line="234" w:lineRule="auto"/>
        <w:rPr>
          <w:lang w:val="ru-RU"/>
        </w:rPr>
      </w:pPr>
      <w:r>
        <w:rPr>
          <w:lang w:val="ru-RU"/>
        </w:rPr>
        <w:t xml:space="preserve">При участии </w:t>
      </w:r>
      <w:r>
        <w:rPr>
          <w:lang w:val="ru-RU"/>
        </w:rPr>
        <w:t xml:space="preserve">ОО</w:t>
      </w:r>
      <w:r>
        <w:rPr>
          <w:lang w:val="ru-RU"/>
        </w:rPr>
        <w:t xml:space="preserve"> в проведении национальных или международных исследований качества образования. в соответствии с Приказом график корректируется с сохранением условий, указанных в подпунктах ”б - е“ пункта 2.1 настоящих рекомендаций.</w:t>
      </w:r>
      <w:r>
        <w:rPr>
          <w:lang w:val="ru-RU"/>
        </w:rPr>
      </w:r>
      <w:r/>
    </w:p>
    <w:p>
      <w:pPr>
        <w:pStyle w:val="597"/>
        <w:ind w:left="10" w:right="53" w:hanging="10"/>
        <w:jc w:val="center"/>
        <w:spacing w:after="933" w:line="265" w:lineRule="auto"/>
        <w:rPr>
          <w:lang w:val="ru-RU"/>
        </w:rPr>
      </w:pPr>
      <w:r>
        <w:rPr>
          <w:lang w:val="ru-RU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1922145</wp:posOffset>
                </wp:positionH>
                <wp:positionV relativeFrom="paragraph">
                  <wp:posOffset>561165</wp:posOffset>
                </wp:positionV>
                <wp:extent cx="2491740" cy="1257300"/>
                <wp:effectExtent l="0" t="0" r="0" b="0"/>
                <wp:wrapTight wrapText="bothSides">
                  <wp:wrapPolygon edited="1">
                    <wp:start x="0" y="0"/>
                    <wp:lineTo x="0" y="21273"/>
                    <wp:lineTo x="21468" y="21273"/>
                    <wp:lineTo x="21468" y="0"/>
                    <wp:lineTo x="0" y="0"/>
                  </wp:wrapPolygon>
                </wp:wrapTight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5263476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rcRect l="18475" t="73666" r="60434" b="8828"/>
                        <a:stretch/>
                      </pic:blipFill>
                      <pic:spPr bwMode="auto">
                        <a:xfrm rot="0" flipH="0" flipV="0">
                          <a:off x="0" y="0"/>
                          <a:ext cx="2491740" cy="125729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z-index:-251658240;o:allowoverlap:true;o:allowincell:true;mso-position-horizontal-relative:text;margin-left:151.3pt;mso-position-horizontal:absolute;mso-position-vertical-relative:text;margin-top:44.2pt;mso-position-vertical:absolute;width:196.2pt;height:99.0pt;mso-wrap-distance-left:9.0pt;mso-wrap-distance-top:0.0pt;mso-wrap-distance-right:9.0pt;mso-wrap-distance-bottom:0.0pt;rotation:0;" wrapcoords="0 0 0 98486 99389 98486 99389 0 0 0" stroked="f">
                <v:path textboxrect="0,0,0,0"/>
                <w10:wrap type="tight"/>
                <v:imagedata r:id="rId9" o:title=""/>
              </v:shape>
            </w:pict>
          </mc:Fallback>
        </mc:AlternateContent>
      </w:r>
      <w:r>
        <w:rPr>
          <w:lang w:val="ru-RU"/>
        </w:rPr>
        <w:t xml:space="preserve">В случае корректировки графика его актуальную версию разместить на сайте 00.</w:t>
      </w:r>
      <w:r>
        <w:rPr>
          <w:lang w:val="ru-RU"/>
        </w:rPr>
      </w:r>
      <w:r/>
    </w:p>
    <w:p>
      <w:pPr>
        <w:jc w:val="left"/>
      </w:pPr>
      <w:r>
        <w:rPr>
          <w:lang w:val="ru-RU"/>
        </w:rPr>
        <w:tab/>
      </w:r>
      <w:r>
        <w:rPr>
          <w:lang w:val="ru-RU"/>
        </w:rPr>
        <w:t xml:space="preserve">Директор</w:t>
      </w:r>
      <w:r>
        <w:rPr>
          <w:lang w:val="tt-RU"/>
        </w:rPr>
        <w:t xml:space="preserve"> </w:t>
      </w:r>
      <w:r>
        <w:rPr>
          <w:lang w:val="ru-RU"/>
        </w:rPr>
        <w:t xml:space="preserve">школы: </w:t>
      </w:r>
      <w:r/>
      <w:r>
        <w:tab/>
      </w:r>
      <w:r>
        <w:rPr>
          <w:lang w:val="tt-RU"/>
        </w:rPr>
        <w:t xml:space="preserve">Ф.Ф Газизов</w:t>
      </w:r>
      <w:r/>
    </w:p>
    <w:p>
      <w:pPr>
        <w:ind w:left="0"/>
        <w:jc w:val="left"/>
        <w:spacing w:after="933" w:line="265" w:lineRule="auto"/>
        <w:tabs>
          <w:tab w:val="center" w:pos="3885" w:leader="none"/>
          <w:tab w:val="center" w:pos="6869" w:leader="none"/>
        </w:tabs>
        <w:rPr>
          <w:lang w:val="ru-RU"/>
        </w:rPr>
      </w:pPr>
      <w:r/>
      <w:r/>
    </w:p>
    <w:sectPr>
      <w:footnotePr/>
      <w:endnotePr/>
      <w:type w:val="nextPage"/>
      <w:pgSz w:w="11904" w:h="16838" w:orient="portrait"/>
      <w:pgMar w:top="1100" w:right="758" w:bottom="1365" w:left="1738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Times New Roman" w:cs="Times New Roman"/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7"/>
    <w:next w:val="597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7"/>
    <w:next w:val="597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7"/>
    <w:next w:val="597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7"/>
    <w:next w:val="597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7"/>
    <w:next w:val="597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7"/>
    <w:next w:val="597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7"/>
    <w:next w:val="597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7"/>
    <w:next w:val="597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7"/>
    <w:next w:val="597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0">
    <w:name w:val="List Paragraph"/>
    <w:basedOn w:val="597"/>
    <w:uiPriority w:val="34"/>
    <w:qFormat/>
    <w:pPr>
      <w:contextualSpacing/>
      <w:ind w:left="720"/>
    </w:p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597"/>
    <w:next w:val="597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597"/>
    <w:next w:val="597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597"/>
    <w:next w:val="597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7"/>
    <w:next w:val="597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7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597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paragraph" w:styleId="45">
    <w:name w:val="Caption"/>
    <w:basedOn w:val="597"/>
    <w:next w:val="59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7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597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597"/>
    <w:next w:val="597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7"/>
    <w:next w:val="597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7"/>
    <w:next w:val="597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7"/>
    <w:next w:val="597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7"/>
    <w:next w:val="597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7"/>
    <w:next w:val="597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7"/>
    <w:next w:val="597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7"/>
    <w:next w:val="597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7"/>
    <w:next w:val="597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7"/>
    <w:next w:val="597"/>
    <w:uiPriority w:val="99"/>
    <w:unhideWhenUsed/>
    <w:pPr>
      <w:spacing w:after="0" w:afterAutospacing="0"/>
    </w:pPr>
  </w:style>
  <w:style w:type="paragraph" w:styleId="597" w:default="1">
    <w:name w:val="Normal"/>
    <w:next w:val="597"/>
    <w:link w:val="597"/>
    <w:qFormat/>
    <w:pPr>
      <w:ind w:left="38"/>
      <w:jc w:val="both"/>
      <w:spacing w:after="14" w:line="248" w:lineRule="auto"/>
    </w:pPr>
    <w:rPr>
      <w:rFonts w:ascii="Times New Roman" w:hAnsi="Times New Roman"/>
      <w:color w:val="000000"/>
      <w:sz w:val="24"/>
      <w:szCs w:val="22"/>
      <w:lang w:val="en-US" w:eastAsia="en-US" w:bidi="ar-SA"/>
    </w:rPr>
  </w:style>
  <w:style w:type="paragraph" w:styleId="598">
    <w:name w:val="Заголовок 1"/>
    <w:next w:val="597"/>
    <w:link w:val="602"/>
    <w:unhideWhenUsed/>
    <w:qFormat/>
    <w:pPr>
      <w:ind w:left="173" w:right="4018" w:hanging="72"/>
      <w:keepLines/>
      <w:keepNext/>
      <w:spacing w:after="273" w:line="229" w:lineRule="auto"/>
      <w:outlineLvl w:val="0"/>
    </w:pPr>
    <w:rPr>
      <w:rFonts w:ascii="Times New Roman" w:hAnsi="Times New Roman"/>
      <w:color w:val="000000"/>
      <w:sz w:val="26"/>
      <w:lang w:bidi="ar-SA"/>
    </w:rPr>
  </w:style>
  <w:style w:type="character" w:styleId="599">
    <w:name w:val="Основной шрифт абзаца"/>
    <w:next w:val="599"/>
    <w:link w:val="597"/>
    <w:uiPriority w:val="1"/>
    <w:semiHidden/>
    <w:unhideWhenUsed/>
  </w:style>
  <w:style w:type="table" w:styleId="600">
    <w:name w:val="Обычная таблица"/>
    <w:next w:val="600"/>
    <w:link w:val="597"/>
    <w:uiPriority w:val="99"/>
    <w:semiHidden/>
    <w:unhideWhenUsed/>
    <w:tblPr/>
  </w:style>
  <w:style w:type="numbering" w:styleId="601">
    <w:name w:val="Нет списка"/>
    <w:next w:val="601"/>
    <w:link w:val="597"/>
    <w:uiPriority w:val="99"/>
    <w:semiHidden/>
    <w:unhideWhenUsed/>
  </w:style>
  <w:style w:type="character" w:styleId="602">
    <w:name w:val="Заголовок 1 Знак"/>
    <w:next w:val="602"/>
    <w:link w:val="598"/>
    <w:rPr>
      <w:rFonts w:ascii="Times New Roman" w:hAnsi="Times New Roman"/>
      <w:color w:val="000000"/>
      <w:sz w:val="26"/>
      <w:lang w:bidi="ar-SA"/>
    </w:rPr>
  </w:style>
  <w:style w:type="character" w:styleId="732" w:default="1">
    <w:name w:val="Default Paragraph Font"/>
    <w:uiPriority w:val="1"/>
    <w:semiHidden/>
    <w:unhideWhenUsed/>
  </w:style>
  <w:style w:type="numbering" w:styleId="733" w:default="1">
    <w:name w:val="No List"/>
    <w:uiPriority w:val="99"/>
    <w:semiHidden/>
    <w:unhideWhenUsed/>
  </w:style>
  <w:style w:type="table" w:styleId="734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Relationship Id="rId9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</dc:creator>
  <cp:revision>5</cp:revision>
  <dcterms:created xsi:type="dcterms:W3CDTF">2023-10-03T06:36:00Z</dcterms:created>
  <dcterms:modified xsi:type="dcterms:W3CDTF">2023-10-03T08:50:47Z</dcterms:modified>
  <cp:version>786432</cp:version>
</cp:coreProperties>
</file>